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B4" w:rsidRPr="00895E7A" w:rsidRDefault="001B31B4" w:rsidP="001B31B4">
      <w:pPr>
        <w:rPr>
          <w:lang w:val="id-ID"/>
        </w:rPr>
      </w:pPr>
    </w:p>
    <w:p w:rsidR="001B31B4" w:rsidRDefault="001B31B4" w:rsidP="001B31B4">
      <w:pPr>
        <w:tabs>
          <w:tab w:val="left" w:pos="142"/>
          <w:tab w:val="left" w:leader="dot" w:pos="7938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1B31B4" w:rsidRPr="00486AC4" w:rsidRDefault="001B31B4" w:rsidP="001B31B4">
      <w:pPr>
        <w:pStyle w:val="ListParagraph"/>
        <w:tabs>
          <w:tab w:val="left" w:pos="142"/>
          <w:tab w:val="left" w:leader="dot" w:pos="7938"/>
        </w:tabs>
        <w:spacing w:line="48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BUKU</w:t>
      </w:r>
    </w:p>
    <w:p w:rsidR="001B31B4" w:rsidRPr="00EB59CE" w:rsidRDefault="001B31B4" w:rsidP="001B31B4">
      <w:pPr>
        <w:tabs>
          <w:tab w:val="left" w:pos="180"/>
          <w:tab w:val="left" w:leader="dot" w:pos="7938"/>
        </w:tabs>
        <w:spacing w:line="240" w:lineRule="auto"/>
        <w:ind w:left="900" w:hanging="900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Arief, Barda Nawawi.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Masalah Penegakan Hukum Dan Kebijakan Hukum Pidana Dalam Penanggulangan Kejahatan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Kencana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2008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0" w:hanging="900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Butar butar, Russel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Kompilasi Hukum Pidana dan Aplikasinya di Masyarakat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Bekasi: Gramata Publishing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Jahja, Juni Sjafrien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Melawan Money Laundering!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Visimedia. 2012</w:t>
      </w:r>
    </w:p>
    <w:p w:rsidR="001B31B4" w:rsidRPr="00492C6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76C">
        <w:rPr>
          <w:rFonts w:ascii="Times New Roman" w:hAnsi="Times New Roman" w:cs="Times New Roman"/>
          <w:sz w:val="24"/>
          <w:szCs w:val="24"/>
        </w:rPr>
        <w:t>Natsir</w:t>
      </w:r>
      <w:r w:rsidRPr="00C9576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9576C">
        <w:rPr>
          <w:rFonts w:ascii="Times New Roman" w:hAnsi="Times New Roman" w:cs="Times New Roman"/>
          <w:i/>
          <w:iCs/>
          <w:sz w:val="24"/>
          <w:szCs w:val="24"/>
        </w:rPr>
        <w:t>Ekonomi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76C">
        <w:rPr>
          <w:rFonts w:ascii="Times New Roman" w:hAnsi="Times New Roman" w:cs="Times New Roman"/>
          <w:i/>
          <w:iCs/>
          <w:sz w:val="24"/>
          <w:szCs w:val="24"/>
        </w:rPr>
        <w:t>Moneter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76C"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76C">
        <w:rPr>
          <w:rFonts w:ascii="Times New Roman" w:hAnsi="Times New Roman" w:cs="Times New Roman"/>
          <w:i/>
          <w:iCs/>
          <w:sz w:val="24"/>
          <w:szCs w:val="24"/>
        </w:rPr>
        <w:t>Kebanksentralan</w:t>
      </w:r>
      <w:r w:rsidRPr="00C9576C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76C">
        <w:rPr>
          <w:rFonts w:ascii="Times New Roman" w:hAnsi="Times New Roman" w:cs="Times New Roman"/>
          <w:sz w:val="24"/>
          <w:szCs w:val="24"/>
        </w:rPr>
        <w:t>Jakarta: Mitra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76C">
        <w:rPr>
          <w:rFonts w:ascii="Times New Roman" w:hAnsi="Times New Roman" w:cs="Times New Roman"/>
          <w:sz w:val="24"/>
          <w:szCs w:val="24"/>
        </w:rPr>
        <w:t>Wacana Media</w:t>
      </w:r>
      <w:r w:rsidRPr="00C9576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Nurastuti,Wiji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Teknologi Perbankan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Yogyakarta: Graha Ilmu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Pangaribuan, Luhut M.P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Acara Pidana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Djambatan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2006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Rohi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m.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Modus Operandi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Depok: Alta Utama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Siahaan, N.H.T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Pencucian Uang Dan Kejahatan Perbankan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Pustaka Sinar Harapan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2002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Sjahdeini, Sutan Remy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Seluk Beluk Tindak Pidana Pencucian Uang Dan Pembiayaan Terorisme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Pustaka Utama Grafiti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Sulistia, Teguh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Pidana: Horizon Baru Pasca Reformasi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Rajawali Pers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  <w:lang w:val="en-AU"/>
        </w:rPr>
        <w:t>Supriyono, Maryanto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>Buku Pintar Perbankan</w:t>
      </w:r>
      <w:r w:rsidRPr="00EB59C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en-AU"/>
        </w:rPr>
        <w:t>Yogyakarta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en-AU"/>
        </w:rPr>
        <w:t>C.vAndi Offset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Tim Redaksi Tatanusa.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Transfer dana &amp; tindak pidana pencucian uang: undang-undang nomor 3 tahun 2011 tentang transfer dana dan undang-undang nomor 8 tahun 2010 tentang pencegahan dan pemberantasan tindak pidana pencucian uang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.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Tatanusa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color w:val="000000"/>
          <w:sz w:val="24"/>
          <w:szCs w:val="24"/>
        </w:rPr>
        <w:t>Tobing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Raida L dan Theodrik Simorangkir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Efektivitas Undang-Undang Money Laundering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>Jakarta: Badan Pembinaan Hukum Nasional Kementerian Hukum dan Hak Asasi Manusia RI</w:t>
      </w:r>
      <w:r w:rsidRPr="00EB59C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EB59CE">
        <w:rPr>
          <w:rFonts w:ascii="Times New Roman" w:hAnsi="Times New Roman" w:cs="Times New Roman"/>
          <w:color w:val="000000"/>
          <w:sz w:val="24"/>
          <w:szCs w:val="24"/>
        </w:rPr>
        <w:t xml:space="preserve"> 2011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4" w:rsidRPr="00EB59CE" w:rsidRDefault="001B31B4" w:rsidP="001B31B4">
      <w:pPr>
        <w:pStyle w:val="ListParagraph"/>
        <w:numPr>
          <w:ilvl w:val="0"/>
          <w:numId w:val="1"/>
        </w:numPr>
        <w:tabs>
          <w:tab w:val="left" w:pos="142"/>
          <w:tab w:val="left" w:leader="dot" w:pos="7938"/>
        </w:tabs>
        <w:spacing w:line="240" w:lineRule="auto"/>
        <w:ind w:left="540" w:hanging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9CE">
        <w:rPr>
          <w:rFonts w:ascii="Times New Roman" w:hAnsi="Times New Roman" w:cs="Times New Roman"/>
          <w:b/>
          <w:color w:val="000000"/>
          <w:sz w:val="24"/>
          <w:szCs w:val="24"/>
        </w:rPr>
        <w:t>WEBSITE</w:t>
      </w:r>
    </w:p>
    <w:p w:rsidR="001B31B4" w:rsidRPr="00EB59CE" w:rsidRDefault="001B31B4" w:rsidP="001B31B4">
      <w:pPr>
        <w:tabs>
          <w:tab w:val="left" w:pos="142"/>
          <w:tab w:val="left" w:leader="dot" w:pos="7938"/>
        </w:tabs>
        <w:spacing w:line="240" w:lineRule="auto"/>
        <w:ind w:left="907" w:hanging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B4" w:rsidRPr="00C9576C" w:rsidRDefault="001B31B4" w:rsidP="001B31B4">
      <w:pPr>
        <w:tabs>
          <w:tab w:val="left" w:pos="142"/>
          <w:tab w:val="left" w:leader="dot" w:pos="793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6" w:history="1">
        <w:r w:rsidRPr="00C957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http://www.bi.go.id/id/perbankan/prinsip-mengenal-nasabah/Contents/Default.aspx</w:t>
        </w:r>
      </w:hyperlink>
    </w:p>
    <w:p w:rsidR="001B31B4" w:rsidRPr="00A56414" w:rsidRDefault="001B31B4" w:rsidP="001B31B4">
      <w:pPr>
        <w:rPr>
          <w:lang w:val="id-ID"/>
        </w:rPr>
      </w:pPr>
      <w:hyperlink r:id="rId7" w:history="1">
        <w:r w:rsidRPr="00C9576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https://27_kebijakan-bank-indonesia_yh_x-1</w:t>
        </w:r>
      </w:hyperlink>
    </w:p>
    <w:p w:rsidR="001B31B4" w:rsidRPr="00A56414" w:rsidRDefault="001B31B4" w:rsidP="001B31B4">
      <w:pPr>
        <w:tabs>
          <w:tab w:val="left" w:pos="142"/>
          <w:tab w:val="left" w:leader="dot" w:pos="7938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652BE3" w:rsidRDefault="00652BE3">
      <w:bookmarkStart w:id="0" w:name="_GoBack"/>
      <w:bookmarkEnd w:id="0"/>
    </w:p>
    <w:sectPr w:rsidR="0065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359"/>
    <w:multiLevelType w:val="hybridMultilevel"/>
    <w:tmpl w:val="33A4A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4"/>
    <w:rsid w:val="001B31B4"/>
    <w:rsid w:val="006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B4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B4"/>
    <w:pPr>
      <w:ind w:left="720"/>
      <w:contextualSpacing/>
    </w:pPr>
  </w:style>
  <w:style w:type="character" w:styleId="Hyperlink">
    <w:name w:val="Hyperlink"/>
    <w:uiPriority w:val="99"/>
    <w:unhideWhenUsed/>
    <w:rsid w:val="001B3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B4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B4"/>
    <w:pPr>
      <w:ind w:left="720"/>
      <w:contextualSpacing/>
    </w:pPr>
  </w:style>
  <w:style w:type="character" w:styleId="Hyperlink">
    <w:name w:val="Hyperlink"/>
    <w:uiPriority w:val="99"/>
    <w:unhideWhenUsed/>
    <w:rsid w:val="001B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7_kebijakan-bank-indonesia_yh_x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.go.id/id/perbankan/prinsip-mengenal-nasabah/Content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2018-12-08T08:45:00Z</dcterms:created>
  <dcterms:modified xsi:type="dcterms:W3CDTF">2018-12-08T08:45:00Z</dcterms:modified>
</cp:coreProperties>
</file>